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1265 SOUTH COCHRAN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Inc./DE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7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Variable Prepaid Forward Contract (obligation to sell)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J/K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11, 2026, the Reporting Person entered into a variable prepaid forward contract with an unaffiliated counterparty. The contract obligates the Reporting Person to deliver shares of Dave Inc. (the "Issuer") Class A Common Stock or, at the Reporting Person's election subject to certain conditions, settle the contract in cash, on a settlement date on or about August 30, 2029 (the "Maturity Date"). In exchange, the Reporting Person will receive an upfront cash payment of $10.9 million. The Reporting Person pledged 37,090 shares of the Issuer's Class A Common Stock (the "Subject Shares") to secure his obligations under the contract. The Reporting Person will retain all voting rights in the Subject Shares during the term of the pledge.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If the Reporting Person does not elect to settle the contract in cash, the number of shares of the Issuer's Class A Common Stock that may be delivered by the Reporting Person following the Maturity Date will generally be determined as follows: (a) if the closing price of shares of the Issuer's Class A Common Stock on the Maturity Date (the "Settlement Price") is less than $481.48 (the "Maximum Price") but greater than $319.33 (the "Minimum Price"), the Reporting Person will deliver a number of shares of the Issuer's Class A Common Stock equal to the Subject Shares multiplied by a ratio equal to the Minimum Price divided by the Settlement Price;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[Continued from footnote 2] (b) if the Settlement Price is equal to or greater than the Maximum Price on the Maturity Date, the Reporting Person will deliver a number of shares of the Issuer's Class A Common Stock equal to the Subject Shares multiplied by a ratio equal to a fraction with a numerator equal to the sum of (A) the Minimum Price and (B) the excess, if any, of the Settlement Price over the Maximum Price, and a denominator equal to the Settlement Price; and (c) if the Settlement Price is equal to or less than the Minimum Price on the Maturity Date, the Reporting Person will deliver a number of shares of the Issuer's Class A Common Stock equal to the Subject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 Aristei as Attorney-in-Fact for Jason Wilk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755" TargetMode="External"/><Relationship Id="rId5" Type="http://schemas.openxmlformats.org/officeDocument/2006/relationships/hyperlink" Target="http://www.sec.gov/cgi-bin/browse-edgar?action=getcompany&amp;CIK=00018414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937</Words>
  <Characters>4904</Characters>
  <CharactersWithSpaces>5768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