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Carroll Brendan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1265 SOUTH COCHRAN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Inc./DE</w:t>
              </w:r>
            </w:hyperlink>
            <w:r>
              <w:rPr/>
              <w:t xml:space="preserve"> [ </w:t>
            </w:r>
            <w:r>
              <w:rPr>
                <w:rFonts w:ascii="Times;serif" w:hAnsi="Times;serif"/>
                <w:color w:val="0000FF"/>
                <w:sz w:val="24"/>
                <w:shd w:fill="FFFFFF" w:val="clear"/>
              </w:rPr>
              <w:t>DAVE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76"/>
        <w:gridCol w:w="906"/>
        <w:gridCol w:w="801"/>
        <w:gridCol w:w="891"/>
        <w:gridCol w:w="68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1.98</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109,985</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warrants previously acquired in a pro-rata, in-kind distribution by an LLC to its investors, which was exempt from reporting pursuant to Rule 16a-9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8 is a weighted average price. These warrants were sold in multiple transactions at prices ranging from $1.87 to $2.04, inclusive. The Reporting Person undertakes to provide to the Issuer, any security holder of the Issuer or the staff of the Securities Exchange Commission, upon request, full information regarding the number of warrants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 Aristei as Attorney-in-Fact for Brendan Carroll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9623" TargetMode="External"/><Relationship Id="rId5" Type="http://schemas.openxmlformats.org/officeDocument/2006/relationships/hyperlink" Target="http://www.sec.gov/cgi-bin/browse-edgar?action=getcompany&amp;CIK=00018414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3685</Characters>
  <CharactersWithSpaces>4294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