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Carroll Brendan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1265 SOUTH COCHRAN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Inc./DE</w:t>
              </w:r>
            </w:hyperlink>
            <w:r>
              <w:rPr/>
              <w:t xml:space="preserve"> [ </w:t>
            </w:r>
            <w:r>
              <w:rPr>
                <w:rFonts w:ascii="Times;serif" w:hAnsi="Times;serif"/>
                <w:color w:val="0000FF"/>
                <w:sz w:val="24"/>
                <w:shd w:fill="FFFFFF" w:val="clear"/>
              </w:rPr>
              <w:t>DAVE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15,359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1.59</w:t>
            </w: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94,626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Trust</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1.59</w:t>
            </w: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78,447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Trust</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33,453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8 is a weighted average price. These warrants were sold in multiple transactions at prices ranging from $1.56 to $1.60, inclusive. The Reporting Person undertakes to provide to the Issuer, any security holder of the Issuer or the staff of the Securities Exchange Commission, upon request, full information regarding the number of warrants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8 is a weighted average price. These warrants were sold in multiple transactions at prices ranging from $1.58 to $1.62,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8 is a weighted average price. These warrants were sold in multiple transactions at prices ranging from $1.56 to $1.70,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 Aristei as Attorney-in-Fact for Brendan Carroll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9623" TargetMode="External"/><Relationship Id="rId5" Type="http://schemas.openxmlformats.org/officeDocument/2006/relationships/hyperlink" Target="http://www.sec.gov/cgi-bin/browse-edgar?action=getcompany&amp;CIK=00018414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3969</Characters>
  <CharactersWithSpaces>4611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